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07A" w:rsidRDefault="003220C8"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Azərbaycan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Respublikasının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Konstitusiyasından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Çıxarış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Maddə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144.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Bələdiyyələrin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səlahiyyətləri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I.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Bələdiyyələrin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iclaslarında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aşağıdakı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məsələlər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həll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edilir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: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1)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üzvlərinin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səlahiyyətlərinin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tanınması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qanunla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müəyyən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edilmiş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hallarda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onların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səlahiyyətlərinin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itirilməsi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səlahiyyətlərinə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xitam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verilməsi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;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2)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reqlamentinin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təsdiq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edilməsi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;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3)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sədrinin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onun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müavinlərinin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daimi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başqa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komissiyaların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seçilməsi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;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4)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yerli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vergilərin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ödənişlərin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müəyyən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edilməsi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;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5)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yerli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büdcənin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onun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icrası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haqqında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hesabatların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təsdiq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edilməsi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;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6)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mülkiyyətinə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sahiblik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ondan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istifadə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onun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barəsində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sərəncam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;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7)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yerli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sosial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müdafiə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sosial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inkişaf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proqramlarının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qəbul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icra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edilməsi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;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8)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yerli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iqtisadi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inkişaf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proqramlarının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qəbul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icra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edilməsi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;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9)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yerli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ekoloji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proqramların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qəbul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icra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edilməsi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II.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Bələdiyyələrə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qanunvericilik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icra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hakimiyyətləri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tərəfindən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əlavə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səlahiyyətlər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verilə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proofErr w:type="gramStart"/>
      <w:r w:rsidRPr="004902E0">
        <w:rPr>
          <w:rFonts w:ascii="Palatino Linotype" w:eastAsia="Times New Roman" w:hAnsi="Palatino Linotype" w:cs="Times New Roman"/>
          <w:sz w:val="24"/>
          <w:szCs w:val="24"/>
        </w:rPr>
        <w:t>bilər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.</w:t>
      </w:r>
      <w:proofErr w:type="gram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gramStart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Bu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səlahiyyətlərin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həyata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keçirilməsi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üçün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üzrə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müvafiq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zəruri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maliyyə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vəsaiti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ayrılmalıdır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proofErr w:type="gram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proofErr w:type="gramStart"/>
      <w:r w:rsidRPr="004902E0">
        <w:rPr>
          <w:rFonts w:ascii="Palatino Linotype" w:eastAsia="Times New Roman" w:hAnsi="Palatino Linotype" w:cs="Times New Roman"/>
          <w:sz w:val="24"/>
          <w:szCs w:val="24"/>
        </w:rPr>
        <w:t>Belə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səlahiyyətlərin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həyata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keçirilməsinə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müvafiq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olaraq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qanunvericilik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icra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hakimiyyətləri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nəzarət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edirlər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proofErr w:type="gramEnd"/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proofErr w:type="spellStart"/>
      <w:proofErr w:type="gram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Maddə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145.</w:t>
      </w:r>
      <w:proofErr w:type="gram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Bələdiyyələrin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qərarları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I.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iclaslarında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baxılan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məsələlərə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dair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qərarlar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qəbul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edilir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proofErr w:type="gramEnd"/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II.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qərarları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üzvlərinin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sadə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səs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çoxluğu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ilə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qəbul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edilir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III.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Yerli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vergilər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ödənişlər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ilə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bağlı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qərarlar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üzvlərinin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üçdə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iki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səs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çoxluğu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ilə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qəbul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edilir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proofErr w:type="spellStart"/>
      <w:proofErr w:type="gram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Maddə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146.</w:t>
      </w:r>
      <w:proofErr w:type="gram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Bələdiyyələrin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müstəqilliyinin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təminatı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I.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Bələdiyyələr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öz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səlahiyyətlərini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həyata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keçirməkdə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müstəqildirlər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bu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isə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ərazisində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yaşayan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vətəndaşlar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qarşısında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onların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məsuliyyətini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istisna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etmir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proofErr w:type="gram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proofErr w:type="gram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üzvlərinin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seçilməsi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səlahiyyətlərinin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dayandırılması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ya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səlahiyyətlərinə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xitam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verilməsi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bələdiyyələrin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vaxtından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əvvəl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buraxılması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halları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qaydası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qanunla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müəyyən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edilir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proofErr w:type="gramEnd"/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II.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Bələdiyyələrin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öz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səlahiyyətlərini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müstəqil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həyata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keçirməsi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Azərbaycan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dövlətinin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lastRenderedPageBreak/>
        <w:t>suverenliyinə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xələl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gətirə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bilməz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III.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Dövlət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bələdiyyələrin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fəaliyyətinə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nəzarət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IV.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Qanunla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müəyyən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edilmiş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hallarda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qaydada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bələdiyyələr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öz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fəaliyyətləri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barəsində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Azərbaycan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Respublikasının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Milli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Məclisinə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hesabat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təqdim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edirlər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V.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Bələdiyyələrin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məhkəmə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tərəfindən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müdafiəsinə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dövlət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orqanlarının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qərarları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nəticəsində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yaranan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əlavə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xərclərinin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ödənilməsinə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təminat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verilir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Maddə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146</w:t>
      </w:r>
      <w:r w:rsidR="009825D3">
        <w:rPr>
          <w:rFonts w:ascii="Palatino Linotype" w:eastAsia="Times New Roman" w:hAnsi="Palatino Linotype" w:cs="Times New Roman"/>
          <w:b/>
          <w:bCs/>
          <w:sz w:val="24"/>
          <w:szCs w:val="24"/>
        </w:rPr>
        <w:t>.</w:t>
      </w:r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1. </w:t>
      </w:r>
      <w:proofErr w:type="spellStart"/>
      <w:proofErr w:type="gram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Bələdiyyələrin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müstəqilliyinin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təminatı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Bələdiyyələr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qulluqçuları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ilə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birlikdə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qulluqçularının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qanuna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zidd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hərəkətləri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hərəkətsizliyi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nəticəsində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insan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hüquq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azadlıqlarına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dəymiş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ziyana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görə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onların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təminatının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pozulmasına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görə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mülki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məsuliyyət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daşıyırlar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proofErr w:type="gramEnd"/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proofErr w:type="spellStart"/>
      <w:proofErr w:type="gram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Maddə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150.</w:t>
      </w:r>
      <w:proofErr w:type="gram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Bələdiyyə</w:t>
      </w:r>
      <w:proofErr w:type="spellEnd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b/>
          <w:bCs/>
          <w:sz w:val="24"/>
          <w:szCs w:val="24"/>
        </w:rPr>
        <w:t>aktları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I.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Bələdiyyələrin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qəbul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etdikləri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aktlar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hüquqa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haqq-ədalətə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(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bərabər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mənafelərə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bərabər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münasibətə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əsaslanmalı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Azərbaycan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Respublikasının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Konstitusiyasına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qanunlarına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Azərbaycan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Respublikası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Prezidentinin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fərmanlarına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Azərbaycan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Respublikası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Nazirlər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Kabinetinin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qərarlarına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(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Naxçıvan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Muxtar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Respublikasında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isə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həm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Naxçıvan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Muxtar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Respublikasının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Konstitusiyasına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qanunlarına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Naxçıvan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Muxtar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Respublikası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Nazirlər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Kabinetinin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qərarlarına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)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zidd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olmamalıdır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  <w:t xml:space="preserve">II.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Bələdiyyələrin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qəbul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etdiyi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aktın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icrası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onun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ərazisində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yaşayan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vətəndaşlar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və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onun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ərazisində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yerləşən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hüquqi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şəxslər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üçün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proofErr w:type="spellStart"/>
      <w:r w:rsidRPr="004902E0">
        <w:rPr>
          <w:rFonts w:ascii="Palatino Linotype" w:eastAsia="Times New Roman" w:hAnsi="Palatino Linotype" w:cs="Times New Roman"/>
          <w:sz w:val="24"/>
          <w:szCs w:val="24"/>
        </w:rPr>
        <w:t>məcburidir</w:t>
      </w:r>
      <w:proofErr w:type="spellEnd"/>
      <w:r w:rsidRPr="004902E0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  <w:r w:rsidRPr="004902E0">
        <w:rPr>
          <w:rFonts w:ascii="Palatino Linotype" w:eastAsia="Times New Roman" w:hAnsi="Palatino Linotype" w:cs="Times New Roman"/>
          <w:sz w:val="24"/>
          <w:szCs w:val="24"/>
        </w:rPr>
        <w:br/>
      </w:r>
    </w:p>
    <w:sectPr w:rsidR="006A207A" w:rsidSect="002633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20C8"/>
    <w:rsid w:val="002633EA"/>
    <w:rsid w:val="003220C8"/>
    <w:rsid w:val="006A207A"/>
    <w:rsid w:val="0098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Company>Grizli777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3</cp:revision>
  <dcterms:created xsi:type="dcterms:W3CDTF">2022-04-29T11:21:00Z</dcterms:created>
  <dcterms:modified xsi:type="dcterms:W3CDTF">2022-04-29T11:23:00Z</dcterms:modified>
</cp:coreProperties>
</file>